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9490" w14:textId="77777777" w:rsidR="001C005F" w:rsidRDefault="00000000">
      <w:pPr>
        <w:spacing w:before="120" w:after="60"/>
      </w:pPr>
      <w:r>
        <w:rPr>
          <w:b/>
          <w:bCs/>
          <w:color w:val="1F5FE0"/>
          <w:sz w:val="40"/>
          <w:szCs w:val="40"/>
        </w:rPr>
        <w:t>Plantilla de comunicación anual</w:t>
      </w:r>
    </w:p>
    <w:p w14:paraId="7DA15AFC" w14:textId="77777777" w:rsidR="001C005F" w:rsidRDefault="00000000">
      <w:pPr>
        <w:spacing w:after="160"/>
      </w:pPr>
      <w:r>
        <w:rPr>
          <w:b/>
          <w:bCs/>
          <w:sz w:val="40"/>
          <w:szCs w:val="40"/>
        </w:rPr>
        <w:t>Jornada intensiva de verano</w:t>
      </w:r>
    </w:p>
    <w:p w14:paraId="322C6D5C" w14:textId="77777777" w:rsidR="001C005F" w:rsidRDefault="00000000">
      <w:pPr>
        <w:pBdr>
          <w:left w:val="single" w:sz="18" w:space="12" w:color="1F5FE0"/>
        </w:pBdr>
        <w:shd w:val="clear" w:color="auto" w:fill="EAF1FD"/>
        <w:spacing w:before="60" w:after="60" w:line="288" w:lineRule="auto"/>
        <w:ind w:left="200" w:right="200"/>
      </w:pPr>
      <w:r>
        <w:rPr>
          <w:sz w:val="22"/>
          <w:szCs w:val="22"/>
        </w:rPr>
        <w:t>Modelo editable + checklist para ofrecerla cada año sin que se consolide como derecho adquirido.</w:t>
      </w:r>
    </w:p>
    <w:p w14:paraId="6D6C26FB" w14:textId="77777777" w:rsidR="001C005F" w:rsidRDefault="00000000">
      <w:pPr>
        <w:spacing w:before="80" w:after="200"/>
      </w:pPr>
      <w:r>
        <w:rPr>
          <w:color w:val="5A5A5A"/>
          <w:sz w:val="19"/>
          <w:szCs w:val="19"/>
        </w:rPr>
        <w:t xml:space="preserve">Rellena los campos marcados </w:t>
      </w:r>
      <w:r>
        <w:rPr>
          <w:b/>
          <w:bCs/>
          <w:color w:val="1F5FE0"/>
          <w:sz w:val="19"/>
          <w:szCs w:val="19"/>
        </w:rPr>
        <w:t>[entre corchetes]</w:t>
      </w:r>
      <w:r>
        <w:rPr>
          <w:color w:val="5A5A5A"/>
          <w:sz w:val="19"/>
          <w:szCs w:val="19"/>
        </w:rPr>
        <w:t xml:space="preserve"> y envía la comunicación cada verano.</w:t>
      </w:r>
    </w:p>
    <w:p w14:paraId="69204CBD" w14:textId="77777777" w:rsidR="001C005F" w:rsidRDefault="00000000">
      <w:pPr>
        <w:pStyle w:val="Heading2"/>
      </w:pPr>
      <w:r>
        <w:t>Cómo usar esta plantilla</w:t>
      </w:r>
    </w:p>
    <w:p w14:paraId="172CDB89" w14:textId="77777777" w:rsidR="001C005F" w:rsidRDefault="00000000">
      <w:pPr>
        <w:spacing w:after="120" w:line="276" w:lineRule="auto"/>
      </w:pPr>
      <w:r>
        <w:t>Ofrecer jornada intensiva en verano es, salvo que tu convenio o un acuerdo de empresa digan lo contrario, una decisión voluntaria. El riesgo es que, repetida varios años sin documentarla, se convierta en una condición más beneficiosa que ya no puedes retirar. Esta comunicación anual es la prueba que evita esa consolidación.</w:t>
      </w:r>
    </w:p>
    <w:p w14:paraId="2EEEC753" w14:textId="77777777" w:rsidR="001C005F" w:rsidRDefault="00000000">
      <w:pPr>
        <w:pStyle w:val="ListParagraph"/>
        <w:numPr>
          <w:ilvl w:val="0"/>
          <w:numId w:val="2"/>
        </w:numPr>
        <w:spacing w:after="80" w:line="276" w:lineRule="auto"/>
      </w:pPr>
      <w:r>
        <w:t>Rellena los campos [entre corchetes] con los datos de tu empresa y del periodo estival.</w:t>
      </w:r>
    </w:p>
    <w:p w14:paraId="1961899B" w14:textId="77777777" w:rsidR="001C005F" w:rsidRDefault="00000000">
      <w:pPr>
        <w:pStyle w:val="ListParagraph"/>
        <w:numPr>
          <w:ilvl w:val="0"/>
          <w:numId w:val="2"/>
        </w:numPr>
        <w:spacing w:after="80" w:line="276" w:lineRule="auto"/>
      </w:pPr>
      <w:r>
        <w:t>Envíala por escrito cada año. No reutilices la del año anterior sin actualizar las fechas.</w:t>
      </w:r>
    </w:p>
    <w:p w14:paraId="4DE8B99A" w14:textId="77777777" w:rsidR="001C005F" w:rsidRDefault="00000000">
      <w:pPr>
        <w:pStyle w:val="ListParagraph"/>
        <w:numPr>
          <w:ilvl w:val="0"/>
          <w:numId w:val="2"/>
        </w:numPr>
        <w:spacing w:after="80" w:line="276" w:lineRule="auto"/>
      </w:pPr>
      <w:r>
        <w:t>Consérvala junto al registro horario del periodo de verano.</w:t>
      </w:r>
    </w:p>
    <w:p w14:paraId="74252EEB" w14:textId="77777777" w:rsidR="001C005F" w:rsidRDefault="00000000">
      <w:pPr>
        <w:pStyle w:val="ListParagraph"/>
        <w:numPr>
          <w:ilvl w:val="0"/>
          <w:numId w:val="2"/>
        </w:numPr>
        <w:spacing w:after="80" w:line="276" w:lineRule="auto"/>
      </w:pPr>
      <w:r>
        <w:t>Revisa siempre tu convenio colectivo: si regula la jornada intensiva, manda el convenio.</w:t>
      </w:r>
    </w:p>
    <w:p w14:paraId="5185F5BD" w14:textId="77777777" w:rsidR="001C005F" w:rsidRDefault="00000000">
      <w:pPr>
        <w:pStyle w:val="Heading2"/>
      </w:pPr>
      <w:r>
        <w:t>Modelo de comunicación</w:t>
      </w:r>
    </w:p>
    <w:p w14:paraId="1B3143FB" w14:textId="77777777" w:rsidR="001C005F" w:rsidRDefault="00000000">
      <w:pPr>
        <w:spacing w:after="160" w:line="276" w:lineRule="auto"/>
      </w:pPr>
      <w:r>
        <w:rPr>
          <w:i/>
          <w:iCs/>
          <w:color w:val="5A5A5A"/>
        </w:rPr>
        <w:t>Copia el texto siguiente en papel con membrete o en un correo. Sirve tanto para una persona como para todo el equipo.</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C005F" w14:paraId="7E660966" w14:textId="77777777">
        <w:tblPrEx>
          <w:tblCellMar>
            <w:top w:w="0" w:type="dxa"/>
            <w:bottom w:w="0" w:type="dxa"/>
          </w:tblCellMar>
        </w:tblPrEx>
        <w:tc>
          <w:tcPr>
            <w:tcW w:w="9026" w:type="dxa"/>
            <w:tcBorders>
              <w:top w:val="single" w:sz="1" w:space="0" w:color="D5DEEC"/>
              <w:left w:val="single" w:sz="1" w:space="0" w:color="D5DEEC"/>
              <w:bottom w:val="single" w:sz="1" w:space="0" w:color="D5DEEC"/>
              <w:right w:val="single" w:sz="1" w:space="0" w:color="D5DEEC"/>
            </w:tcBorders>
            <w:shd w:val="clear" w:color="auto" w:fill="FBFCFE"/>
            <w:tcMar>
              <w:top w:w="200" w:type="dxa"/>
              <w:left w:w="240" w:type="dxa"/>
              <w:bottom w:w="200" w:type="dxa"/>
              <w:right w:w="240" w:type="dxa"/>
            </w:tcMar>
          </w:tcPr>
          <w:p w14:paraId="4C09B260" w14:textId="77777777" w:rsidR="001C005F" w:rsidRDefault="00000000">
            <w:pPr>
              <w:spacing w:after="140" w:line="288" w:lineRule="auto"/>
            </w:pPr>
            <w:r>
              <w:t xml:space="preserve">En </w:t>
            </w:r>
            <w:r>
              <w:rPr>
                <w:b/>
                <w:bCs/>
                <w:color w:val="1F5FE0"/>
              </w:rPr>
              <w:t>[lugar]</w:t>
            </w:r>
            <w:r>
              <w:t xml:space="preserve">, a </w:t>
            </w:r>
            <w:r>
              <w:rPr>
                <w:b/>
                <w:bCs/>
                <w:color w:val="1F5FE0"/>
              </w:rPr>
              <w:t>[fecha]</w:t>
            </w:r>
            <w:r>
              <w:t>.</w:t>
            </w:r>
          </w:p>
          <w:p w14:paraId="2B0CDD93" w14:textId="77777777" w:rsidR="001C005F" w:rsidRDefault="00000000">
            <w:pPr>
              <w:spacing w:after="140" w:line="288" w:lineRule="auto"/>
            </w:pPr>
            <w:r>
              <w:t xml:space="preserve">Estimado/a </w:t>
            </w:r>
            <w:r>
              <w:rPr>
                <w:b/>
                <w:bCs/>
                <w:color w:val="1F5FE0"/>
              </w:rPr>
              <w:t>[nombre]</w:t>
            </w:r>
            <w:r>
              <w:t xml:space="preserve"> / A todo el equipo:</w:t>
            </w:r>
          </w:p>
          <w:p w14:paraId="279D1BEF" w14:textId="77777777" w:rsidR="001C005F" w:rsidRDefault="00000000">
            <w:pPr>
              <w:spacing w:after="140" w:line="288" w:lineRule="auto"/>
            </w:pPr>
            <w:r>
              <w:t xml:space="preserve">Te informamos de que, durante el periodo comprendido entre el </w:t>
            </w:r>
            <w:r>
              <w:rPr>
                <w:b/>
                <w:bCs/>
                <w:color w:val="1F5FE0"/>
              </w:rPr>
              <w:t>[fecha de inicio, p. ej. 1 de junio de 2026]</w:t>
            </w:r>
            <w:r>
              <w:t xml:space="preserve"> y el </w:t>
            </w:r>
            <w:r>
              <w:rPr>
                <w:b/>
                <w:bCs/>
                <w:color w:val="1F5FE0"/>
              </w:rPr>
              <w:t>[fecha de fin, p. ej. 30 de septiembre de 2026]</w:t>
            </w:r>
            <w:r>
              <w:t xml:space="preserve">, la empresa aplicará de forma temporal una jornada intensiva (horario continuo) de </w:t>
            </w:r>
            <w:r>
              <w:rPr>
                <w:b/>
                <w:bCs/>
                <w:color w:val="1F5FE0"/>
              </w:rPr>
              <w:t>[hora de inicio]</w:t>
            </w:r>
            <w:r>
              <w:t xml:space="preserve"> a </w:t>
            </w:r>
            <w:r>
              <w:rPr>
                <w:b/>
                <w:bCs/>
                <w:color w:val="1F5FE0"/>
              </w:rPr>
              <w:t>[hora de fin]</w:t>
            </w:r>
            <w:r>
              <w:t>.</w:t>
            </w:r>
          </w:p>
          <w:p w14:paraId="514556E5" w14:textId="77777777" w:rsidR="001C005F" w:rsidRDefault="00000000">
            <w:pPr>
              <w:spacing w:after="140" w:line="288" w:lineRule="auto"/>
            </w:pPr>
            <w:r>
              <w:t xml:space="preserve">Esta medida responde a </w:t>
            </w:r>
            <w:r>
              <w:rPr>
                <w:b/>
                <w:bCs/>
                <w:color w:val="1F5FE0"/>
              </w:rPr>
              <w:t>[necesidades organizativas del periodo estival / la menor actividad de estos meses / motivos de conciliación]</w:t>
            </w:r>
            <w:r>
              <w:t xml:space="preserve"> y tiene carácter exclusivamente temporal. Finalizará en la fecha indicada, sin generar derecho alguno para años posteriores.</w:t>
            </w:r>
          </w:p>
          <w:p w14:paraId="6C237C6F" w14:textId="77777777" w:rsidR="001C005F" w:rsidRDefault="00000000">
            <w:pPr>
              <w:spacing w:after="140" w:line="288" w:lineRule="auto"/>
            </w:pPr>
            <w:r>
              <w:t xml:space="preserve">Asimismo, esta jornada intensiva no modifica el cómputo de la jornada anual establecido en </w:t>
            </w:r>
            <w:r>
              <w:rPr>
                <w:b/>
                <w:bCs/>
                <w:color w:val="1F5FE0"/>
              </w:rPr>
              <w:t>[el convenio colectivo aplicable / tu contrato]</w:t>
            </w:r>
            <w:r>
              <w:t xml:space="preserve"> ni el resto de condiciones laborales.</w:t>
            </w:r>
          </w:p>
          <w:p w14:paraId="2869A816" w14:textId="77777777" w:rsidR="001C005F" w:rsidRDefault="00000000">
            <w:pPr>
              <w:spacing w:after="140" w:line="288" w:lineRule="auto"/>
            </w:pPr>
            <w:r>
              <w:t>La aplicación de una medida similar en próximas temporadas, en su caso, se valorará y comunicará cada año de forma independiente.</w:t>
            </w:r>
          </w:p>
          <w:p w14:paraId="78620DE9" w14:textId="77777777" w:rsidR="001C005F" w:rsidRDefault="00000000">
            <w:pPr>
              <w:spacing w:after="140" w:line="288" w:lineRule="auto"/>
            </w:pPr>
            <w:r>
              <w:t>Quedamos a tu disposición para cualquier aclaración.</w:t>
            </w:r>
          </w:p>
          <w:p w14:paraId="64BC8D24" w14:textId="77777777" w:rsidR="001C005F" w:rsidRDefault="00000000">
            <w:pPr>
              <w:spacing w:after="80" w:line="288" w:lineRule="auto"/>
            </w:pPr>
            <w:r>
              <w:t>Atentamente,</w:t>
            </w:r>
          </w:p>
          <w:p w14:paraId="307F94B1" w14:textId="77777777" w:rsidR="001C005F" w:rsidRDefault="00000000">
            <w:pPr>
              <w:spacing w:after="20" w:line="288" w:lineRule="auto"/>
            </w:pPr>
            <w:r>
              <w:rPr>
                <w:b/>
                <w:bCs/>
                <w:color w:val="1F5FE0"/>
              </w:rPr>
              <w:t>[Nombre y cargo]</w:t>
            </w:r>
          </w:p>
          <w:p w14:paraId="29781262" w14:textId="77777777" w:rsidR="001C005F" w:rsidRDefault="00000000">
            <w:pPr>
              <w:spacing w:line="288" w:lineRule="auto"/>
            </w:pPr>
            <w:r>
              <w:rPr>
                <w:b/>
                <w:bCs/>
                <w:color w:val="1F5FE0"/>
              </w:rPr>
              <w:t>[Empresa]</w:t>
            </w:r>
          </w:p>
        </w:tc>
      </w:tr>
    </w:tbl>
    <w:p w14:paraId="0CB37B70" w14:textId="77777777" w:rsidR="00D8307A" w:rsidRDefault="00D8307A">
      <w:pPr>
        <w:pStyle w:val="Heading2"/>
      </w:pPr>
    </w:p>
    <w:p w14:paraId="2B83790E" w14:textId="4AAA9218" w:rsidR="001C005F" w:rsidRDefault="00000000">
      <w:pPr>
        <w:pStyle w:val="Heading2"/>
      </w:pPr>
      <w:r>
        <w:lastRenderedPageBreak/>
        <w:t>Checklist anual (antes de cada verano)</w:t>
      </w:r>
    </w:p>
    <w:p w14:paraId="6DC7D03F" w14:textId="77777777" w:rsidR="001C005F" w:rsidRDefault="00000000">
      <w:pPr>
        <w:spacing w:after="140" w:line="276" w:lineRule="auto"/>
      </w:pPr>
      <w:r>
        <w:rPr>
          <w:i/>
          <w:iCs/>
          <w:color w:val="5A5A5A"/>
        </w:rPr>
        <w:t>Si marcas todas las casillas, tu jornada intensiva queda documentada como medida temporal.</w:t>
      </w:r>
    </w:p>
    <w:p w14:paraId="258CE9A3" w14:textId="77777777" w:rsidR="001C005F" w:rsidRDefault="00000000">
      <w:pPr>
        <w:pStyle w:val="ListParagraph"/>
        <w:numPr>
          <w:ilvl w:val="0"/>
          <w:numId w:val="3"/>
        </w:numPr>
        <w:spacing w:after="100" w:line="276" w:lineRule="auto"/>
      </w:pPr>
      <w:r>
        <w:t>Comunicación enviada por escrito este año (no reutilizar la del año anterior).</w:t>
      </w:r>
    </w:p>
    <w:p w14:paraId="29EBE982" w14:textId="77777777" w:rsidR="001C005F" w:rsidRDefault="00000000">
      <w:pPr>
        <w:pStyle w:val="ListParagraph"/>
        <w:numPr>
          <w:ilvl w:val="0"/>
          <w:numId w:val="3"/>
        </w:numPr>
        <w:spacing w:after="100" w:line="276" w:lineRule="auto"/>
      </w:pPr>
      <w:r>
        <w:t>Fechas de inicio y fin indicadas de forma expresa.</w:t>
      </w:r>
    </w:p>
    <w:p w14:paraId="5A69EB27" w14:textId="77777777" w:rsidR="001C005F" w:rsidRDefault="00000000">
      <w:pPr>
        <w:pStyle w:val="ListParagraph"/>
        <w:numPr>
          <w:ilvl w:val="0"/>
          <w:numId w:val="3"/>
        </w:numPr>
        <w:spacing w:after="100" w:line="276" w:lineRule="auto"/>
      </w:pPr>
      <w:r>
        <w:t>Carácter temporal declarado de forma explícita.</w:t>
      </w:r>
    </w:p>
    <w:p w14:paraId="2C6F2996" w14:textId="77777777" w:rsidR="001C005F" w:rsidRDefault="00000000">
      <w:pPr>
        <w:pStyle w:val="ListParagraph"/>
        <w:numPr>
          <w:ilvl w:val="0"/>
          <w:numId w:val="3"/>
        </w:numPr>
        <w:spacing w:after="100" w:line="276" w:lineRule="auto"/>
      </w:pPr>
      <w:r>
        <w:t>Vinculación a necesidades organizativas del periodo estival.</w:t>
      </w:r>
    </w:p>
    <w:p w14:paraId="3F9B20FB" w14:textId="77777777" w:rsidR="001C005F" w:rsidRDefault="00000000">
      <w:pPr>
        <w:pStyle w:val="ListParagraph"/>
        <w:numPr>
          <w:ilvl w:val="0"/>
          <w:numId w:val="3"/>
        </w:numPr>
        <w:spacing w:after="100" w:line="276" w:lineRule="auto"/>
      </w:pPr>
      <w:r>
        <w:t>Mención de que no altera la jornada anual del convenio.</w:t>
      </w:r>
    </w:p>
    <w:p w14:paraId="3D4D0D95" w14:textId="77777777" w:rsidR="001C005F" w:rsidRDefault="00000000">
      <w:pPr>
        <w:pStyle w:val="ListParagraph"/>
        <w:numPr>
          <w:ilvl w:val="0"/>
          <w:numId w:val="3"/>
        </w:numPr>
        <w:spacing w:after="100" w:line="276" w:lineRule="auto"/>
      </w:pPr>
      <w:r>
        <w:t>Registro horario actualizado al horario de verano.</w:t>
      </w:r>
    </w:p>
    <w:p w14:paraId="500EE325" w14:textId="77777777" w:rsidR="001C005F" w:rsidRDefault="00000000">
      <w:pPr>
        <w:pStyle w:val="Heading2"/>
      </w:pPr>
      <w:r>
        <w:t>Las 4 condiciones que pueden convertirla en derecho adquirido</w:t>
      </w:r>
    </w:p>
    <w:p w14:paraId="662CF05C" w14:textId="77777777" w:rsidR="001C005F" w:rsidRDefault="00000000">
      <w:pPr>
        <w:spacing w:after="140" w:line="276" w:lineRule="auto"/>
      </w:pPr>
      <w:r>
        <w:t>Según el Tribunal Supremo (sentencia de mayo de 2025, caso Portos de Galicia), la jornada de verano puede consolidarse como condición más beneficiosa cuando se dan, de forma acumulativa, estas cuatro circunstancias:</w:t>
      </w:r>
    </w:p>
    <w:p w14:paraId="650DE52B" w14:textId="77777777" w:rsidR="001C005F" w:rsidRDefault="00000000">
      <w:pPr>
        <w:pStyle w:val="ListParagraph"/>
        <w:numPr>
          <w:ilvl w:val="0"/>
          <w:numId w:val="4"/>
        </w:numPr>
        <w:spacing w:after="80" w:line="276" w:lineRule="auto"/>
      </w:pPr>
      <w:r>
        <w:t>Aplicación uniforme a todo un colectivo, no solo a algunas personas a título individual.</w:t>
      </w:r>
    </w:p>
    <w:p w14:paraId="611D841A" w14:textId="77777777" w:rsidR="001C005F" w:rsidRDefault="00000000">
      <w:pPr>
        <w:pStyle w:val="ListParagraph"/>
        <w:numPr>
          <w:ilvl w:val="0"/>
          <w:numId w:val="4"/>
        </w:numPr>
        <w:spacing w:after="80" w:line="276" w:lineRule="auto"/>
      </w:pPr>
      <w:r>
        <w:t>Disfrute continuado y sin interrupciones durante varios años.</w:t>
      </w:r>
    </w:p>
    <w:p w14:paraId="4461BF59" w14:textId="77777777" w:rsidR="001C005F" w:rsidRDefault="00000000">
      <w:pPr>
        <w:pStyle w:val="ListParagraph"/>
        <w:numPr>
          <w:ilvl w:val="0"/>
          <w:numId w:val="4"/>
        </w:numPr>
        <w:spacing w:after="80" w:line="276" w:lineRule="auto"/>
      </w:pPr>
      <w:r>
        <w:t>Voluntad clara y constante de la empresa de concederla.</w:t>
      </w:r>
    </w:p>
    <w:p w14:paraId="74F6945E" w14:textId="77777777" w:rsidR="001C005F" w:rsidRDefault="00000000">
      <w:pPr>
        <w:pStyle w:val="ListParagraph"/>
        <w:numPr>
          <w:ilvl w:val="0"/>
          <w:numId w:val="4"/>
        </w:numPr>
        <w:spacing w:after="80" w:line="276" w:lineRule="auto"/>
      </w:pPr>
      <w:r>
        <w:t>Ausencia de avisos o condicionantes anuales que limiten la medida.</w:t>
      </w:r>
    </w:p>
    <w:p w14:paraId="32A6CE97" w14:textId="77777777" w:rsidR="001C005F" w:rsidRDefault="00000000">
      <w:pPr>
        <w:pBdr>
          <w:left w:val="single" w:sz="18" w:space="12" w:color="1F5FE0"/>
        </w:pBdr>
        <w:shd w:val="clear" w:color="auto" w:fill="EAF1FD"/>
        <w:spacing w:before="160" w:after="80" w:line="288" w:lineRule="auto"/>
        <w:ind w:left="200" w:right="200"/>
      </w:pPr>
      <w:r>
        <w:rPr>
          <w:b/>
          <w:bCs/>
          <w:color w:val="1F5FE0"/>
        </w:rPr>
        <w:t xml:space="preserve">La clave: </w:t>
      </w:r>
      <w:r>
        <w:t>evita que se cumplan las cuatro a la vez. Avisar por escrito cada año de que la medida es temporal (condición 4) suele ser suficiente para romper la cadena, incluso después de muchos veranos.</w:t>
      </w:r>
    </w:p>
    <w:p w14:paraId="445034AC" w14:textId="77777777" w:rsidR="001C005F" w:rsidRDefault="00000000">
      <w:pPr>
        <w:pStyle w:val="Heading2"/>
      </w:pPr>
      <w:r>
        <w:t>Documenta y registra todo en Shiftbase</w:t>
      </w:r>
    </w:p>
    <w:p w14:paraId="54017EB4" w14:textId="77777777" w:rsidR="001C005F" w:rsidRDefault="00000000">
      <w:pPr>
        <w:spacing w:after="140" w:line="276" w:lineRule="auto"/>
      </w:pPr>
      <w:r>
        <w:t>La prueba que el Tribunal Supremo valora es siempre documental: comunicaciones coherentes y registros de jornada correctos. Con Shiftbase montas el horario de verano, registras las horas reales de cada empleado y conservas los datos el tiempo que exige la ley, todo en el mismo sitio.</w:t>
      </w:r>
    </w:p>
    <w:p w14:paraId="58669F86" w14:textId="77777777" w:rsidR="001C005F" w:rsidRDefault="00000000">
      <w:pPr>
        <w:spacing w:after="40"/>
      </w:pPr>
      <w:hyperlink r:id="rId7" w:history="1">
        <w:r>
          <w:rPr>
            <w:rStyle w:val="Hyperlink"/>
            <w:b/>
            <w:bCs/>
            <w:color w:val="1F5FE0"/>
            <w:sz w:val="22"/>
            <w:szCs w:val="22"/>
          </w:rPr>
          <w:t>Prueba Shiftbase gratis durante 14 días</w:t>
        </w:r>
      </w:hyperlink>
      <w:r>
        <w:rPr>
          <w:color w:val="5A5A5A"/>
          <w:sz w:val="20"/>
          <w:szCs w:val="20"/>
        </w:rPr>
        <w:t xml:space="preserve">  ·  sin tarjeta y sin compromiso.</w:t>
      </w:r>
    </w:p>
    <w:sectPr w:rsidR="001C005F">
      <w:headerReference w:type="default" r:id="rId8"/>
      <w:footerReference w:type="default" r:id="rId9"/>
      <w:pgSz w:w="11906" w:h="16838"/>
      <w:pgMar w:top="1440" w:right="1440" w:bottom="12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EB1B1" w14:textId="77777777" w:rsidR="0032259F" w:rsidRDefault="0032259F">
      <w:r>
        <w:separator/>
      </w:r>
    </w:p>
  </w:endnote>
  <w:endnote w:type="continuationSeparator" w:id="0">
    <w:p w14:paraId="408F5740" w14:textId="77777777" w:rsidR="0032259F" w:rsidRDefault="0032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E559" w14:textId="77777777" w:rsidR="001C005F" w:rsidRDefault="00000000">
    <w:pPr>
      <w:pBdr>
        <w:top w:val="single" w:sz="4" w:space="6" w:color="D5DEEC"/>
      </w:pBdr>
      <w:spacing w:before="60"/>
    </w:pPr>
    <w:r>
      <w:rPr>
        <w:color w:val="5A5A5A"/>
        <w:sz w:val="16"/>
        <w:szCs w:val="16"/>
      </w:rPr>
      <w:t xml:space="preserve">Plantilla orientativa de Shiftbase. No constituye asesoramiento legal.   Pag. </w:t>
    </w:r>
    <w:r>
      <w:rPr>
        <w:color w:val="5A5A5A"/>
        <w:sz w:val="16"/>
        <w:szCs w:val="16"/>
      </w:rPr>
      <w:fldChar w:fldCharType="begin"/>
    </w:r>
    <w:r>
      <w:rPr>
        <w:color w:val="5A5A5A"/>
        <w:sz w:val="16"/>
        <w:szCs w:val="16"/>
      </w:rPr>
      <w:instrText>PAGE</w:instrText>
    </w:r>
    <w:r>
      <w:rPr>
        <w:color w:val="5A5A5A"/>
        <w:sz w:val="16"/>
        <w:szCs w:val="16"/>
      </w:rPr>
      <w:fldChar w:fldCharType="separate"/>
    </w:r>
    <w:r w:rsidR="00D8307A">
      <w:rPr>
        <w:noProof/>
        <w:color w:val="5A5A5A"/>
        <w:sz w:val="16"/>
        <w:szCs w:val="16"/>
      </w:rPr>
      <w:t>1</w:t>
    </w:r>
    <w:r>
      <w:rPr>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2198" w14:textId="77777777" w:rsidR="0032259F" w:rsidRDefault="0032259F">
      <w:r>
        <w:separator/>
      </w:r>
    </w:p>
  </w:footnote>
  <w:footnote w:type="continuationSeparator" w:id="0">
    <w:p w14:paraId="485B1F1F" w14:textId="77777777" w:rsidR="0032259F" w:rsidRDefault="0032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0679" w14:textId="77777777" w:rsidR="001C005F" w:rsidRDefault="00000000">
    <w:pPr>
      <w:pBdr>
        <w:bottom w:val="single" w:sz="6" w:space="6" w:color="1F5FE0"/>
      </w:pBdr>
      <w:spacing w:after="60"/>
    </w:pPr>
    <w:r>
      <w:rPr>
        <w:b/>
        <w:bCs/>
        <w:color w:val="1F5FE0"/>
        <w:sz w:val="20"/>
        <w:szCs w:val="20"/>
      </w:rPr>
      <w:t>Shiftbase</w:t>
    </w:r>
    <w:r>
      <w:rPr>
        <w:color w:val="5A5A5A"/>
        <w:sz w:val="18"/>
        <w:szCs w:val="18"/>
      </w:rPr>
      <w:t xml:space="preserve">   |   Plantilla jornada intensiva de verano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37"/>
    <w:multiLevelType w:val="hybridMultilevel"/>
    <w:tmpl w:val="9A38F97A"/>
    <w:lvl w:ilvl="0" w:tplc="723605F8">
      <w:start w:val="1"/>
      <w:numFmt w:val="decimal"/>
      <w:lvlText w:val="%1."/>
      <w:lvlJc w:val="left"/>
      <w:pPr>
        <w:ind w:left="540" w:hanging="280"/>
      </w:pPr>
      <w:rPr>
        <w:b/>
        <w:bCs/>
        <w:color w:val="1F5FE0"/>
      </w:rPr>
    </w:lvl>
    <w:lvl w:ilvl="1" w:tplc="5B5A15D4">
      <w:numFmt w:val="decimal"/>
      <w:lvlText w:val=""/>
      <w:lvlJc w:val="left"/>
    </w:lvl>
    <w:lvl w:ilvl="2" w:tplc="DF60F2F8">
      <w:numFmt w:val="decimal"/>
      <w:lvlText w:val=""/>
      <w:lvlJc w:val="left"/>
    </w:lvl>
    <w:lvl w:ilvl="3" w:tplc="C2085C8A">
      <w:numFmt w:val="decimal"/>
      <w:lvlText w:val=""/>
      <w:lvlJc w:val="left"/>
    </w:lvl>
    <w:lvl w:ilvl="4" w:tplc="7D4430FA">
      <w:numFmt w:val="decimal"/>
      <w:lvlText w:val=""/>
      <w:lvlJc w:val="left"/>
    </w:lvl>
    <w:lvl w:ilvl="5" w:tplc="4FEEBCA6">
      <w:numFmt w:val="decimal"/>
      <w:lvlText w:val=""/>
      <w:lvlJc w:val="left"/>
    </w:lvl>
    <w:lvl w:ilvl="6" w:tplc="C5608070">
      <w:numFmt w:val="decimal"/>
      <w:lvlText w:val=""/>
      <w:lvlJc w:val="left"/>
    </w:lvl>
    <w:lvl w:ilvl="7" w:tplc="D5CA5496">
      <w:numFmt w:val="decimal"/>
      <w:lvlText w:val=""/>
      <w:lvlJc w:val="left"/>
    </w:lvl>
    <w:lvl w:ilvl="8" w:tplc="4F9EBF18">
      <w:numFmt w:val="decimal"/>
      <w:lvlText w:val=""/>
      <w:lvlJc w:val="left"/>
    </w:lvl>
  </w:abstractNum>
  <w:abstractNum w:abstractNumId="1" w15:restartNumberingAfterBreak="0">
    <w:nsid w:val="1359661F"/>
    <w:multiLevelType w:val="hybridMultilevel"/>
    <w:tmpl w:val="1D324864"/>
    <w:lvl w:ilvl="0" w:tplc="A9A4A2CA">
      <w:start w:val="1"/>
      <w:numFmt w:val="bullet"/>
      <w:lvlText w:val="☐"/>
      <w:lvlJc w:val="left"/>
      <w:pPr>
        <w:ind w:left="540" w:hanging="300"/>
      </w:pPr>
      <w:rPr>
        <w:color w:val="1F5FE0"/>
      </w:rPr>
    </w:lvl>
    <w:lvl w:ilvl="1" w:tplc="B618357A">
      <w:numFmt w:val="decimal"/>
      <w:lvlText w:val=""/>
      <w:lvlJc w:val="left"/>
    </w:lvl>
    <w:lvl w:ilvl="2" w:tplc="1B1EC0E2">
      <w:numFmt w:val="decimal"/>
      <w:lvlText w:val=""/>
      <w:lvlJc w:val="left"/>
    </w:lvl>
    <w:lvl w:ilvl="3" w:tplc="1646C07E">
      <w:numFmt w:val="decimal"/>
      <w:lvlText w:val=""/>
      <w:lvlJc w:val="left"/>
    </w:lvl>
    <w:lvl w:ilvl="4" w:tplc="1D9AE73C">
      <w:numFmt w:val="decimal"/>
      <w:lvlText w:val=""/>
      <w:lvlJc w:val="left"/>
    </w:lvl>
    <w:lvl w:ilvl="5" w:tplc="A71A05FE">
      <w:numFmt w:val="decimal"/>
      <w:lvlText w:val=""/>
      <w:lvlJc w:val="left"/>
    </w:lvl>
    <w:lvl w:ilvl="6" w:tplc="1BD8999A">
      <w:numFmt w:val="decimal"/>
      <w:lvlText w:val=""/>
      <w:lvlJc w:val="left"/>
    </w:lvl>
    <w:lvl w:ilvl="7" w:tplc="18D27364">
      <w:numFmt w:val="decimal"/>
      <w:lvlText w:val=""/>
      <w:lvlJc w:val="left"/>
    </w:lvl>
    <w:lvl w:ilvl="8" w:tplc="26500E5C">
      <w:numFmt w:val="decimal"/>
      <w:lvlText w:val=""/>
      <w:lvlJc w:val="left"/>
    </w:lvl>
  </w:abstractNum>
  <w:abstractNum w:abstractNumId="2" w15:restartNumberingAfterBreak="0">
    <w:nsid w:val="65DE5478"/>
    <w:multiLevelType w:val="hybridMultilevel"/>
    <w:tmpl w:val="79B0F6EC"/>
    <w:lvl w:ilvl="0" w:tplc="7F869686">
      <w:start w:val="1"/>
      <w:numFmt w:val="bullet"/>
      <w:lvlText w:val="●"/>
      <w:lvlJc w:val="left"/>
      <w:pPr>
        <w:ind w:left="720" w:hanging="360"/>
      </w:pPr>
    </w:lvl>
    <w:lvl w:ilvl="1" w:tplc="3F588C96">
      <w:start w:val="1"/>
      <w:numFmt w:val="bullet"/>
      <w:lvlText w:val="○"/>
      <w:lvlJc w:val="left"/>
      <w:pPr>
        <w:ind w:left="1440" w:hanging="360"/>
      </w:pPr>
    </w:lvl>
    <w:lvl w:ilvl="2" w:tplc="DA628F7A">
      <w:start w:val="1"/>
      <w:numFmt w:val="bullet"/>
      <w:lvlText w:val="■"/>
      <w:lvlJc w:val="left"/>
      <w:pPr>
        <w:ind w:left="2160" w:hanging="360"/>
      </w:pPr>
    </w:lvl>
    <w:lvl w:ilvl="3" w:tplc="E8F21D52">
      <w:start w:val="1"/>
      <w:numFmt w:val="bullet"/>
      <w:lvlText w:val="●"/>
      <w:lvlJc w:val="left"/>
      <w:pPr>
        <w:ind w:left="2880" w:hanging="360"/>
      </w:pPr>
    </w:lvl>
    <w:lvl w:ilvl="4" w:tplc="33966354">
      <w:start w:val="1"/>
      <w:numFmt w:val="bullet"/>
      <w:lvlText w:val="○"/>
      <w:lvlJc w:val="left"/>
      <w:pPr>
        <w:ind w:left="3600" w:hanging="360"/>
      </w:pPr>
    </w:lvl>
    <w:lvl w:ilvl="5" w:tplc="021C4594">
      <w:start w:val="1"/>
      <w:numFmt w:val="bullet"/>
      <w:lvlText w:val="■"/>
      <w:lvlJc w:val="left"/>
      <w:pPr>
        <w:ind w:left="4320" w:hanging="360"/>
      </w:pPr>
    </w:lvl>
    <w:lvl w:ilvl="6" w:tplc="C7E066AE">
      <w:start w:val="1"/>
      <w:numFmt w:val="bullet"/>
      <w:lvlText w:val="●"/>
      <w:lvlJc w:val="left"/>
      <w:pPr>
        <w:ind w:left="5040" w:hanging="360"/>
      </w:pPr>
    </w:lvl>
    <w:lvl w:ilvl="7" w:tplc="BC1021F4">
      <w:start w:val="1"/>
      <w:numFmt w:val="bullet"/>
      <w:lvlText w:val="●"/>
      <w:lvlJc w:val="left"/>
      <w:pPr>
        <w:ind w:left="5760" w:hanging="360"/>
      </w:pPr>
    </w:lvl>
    <w:lvl w:ilvl="8" w:tplc="E03E6150">
      <w:start w:val="1"/>
      <w:numFmt w:val="bullet"/>
      <w:lvlText w:val="●"/>
      <w:lvlJc w:val="left"/>
      <w:pPr>
        <w:ind w:left="6480" w:hanging="360"/>
      </w:pPr>
    </w:lvl>
  </w:abstractNum>
  <w:abstractNum w:abstractNumId="3" w15:restartNumberingAfterBreak="0">
    <w:nsid w:val="7BD0355E"/>
    <w:multiLevelType w:val="hybridMultilevel"/>
    <w:tmpl w:val="06F2B0F2"/>
    <w:lvl w:ilvl="0" w:tplc="A834448A">
      <w:start w:val="1"/>
      <w:numFmt w:val="bullet"/>
      <w:lvlText w:val="•"/>
      <w:lvlJc w:val="left"/>
      <w:pPr>
        <w:ind w:left="540" w:hanging="280"/>
      </w:pPr>
      <w:rPr>
        <w:color w:val="1F5FE0"/>
      </w:rPr>
    </w:lvl>
    <w:lvl w:ilvl="1" w:tplc="D97AD86E">
      <w:numFmt w:val="decimal"/>
      <w:lvlText w:val=""/>
      <w:lvlJc w:val="left"/>
    </w:lvl>
    <w:lvl w:ilvl="2" w:tplc="7D36E0B0">
      <w:numFmt w:val="decimal"/>
      <w:lvlText w:val=""/>
      <w:lvlJc w:val="left"/>
    </w:lvl>
    <w:lvl w:ilvl="3" w:tplc="3B267E22">
      <w:numFmt w:val="decimal"/>
      <w:lvlText w:val=""/>
      <w:lvlJc w:val="left"/>
    </w:lvl>
    <w:lvl w:ilvl="4" w:tplc="4A389D7E">
      <w:numFmt w:val="decimal"/>
      <w:lvlText w:val=""/>
      <w:lvlJc w:val="left"/>
    </w:lvl>
    <w:lvl w:ilvl="5" w:tplc="8FB22EBA">
      <w:numFmt w:val="decimal"/>
      <w:lvlText w:val=""/>
      <w:lvlJc w:val="left"/>
    </w:lvl>
    <w:lvl w:ilvl="6" w:tplc="17DA751A">
      <w:numFmt w:val="decimal"/>
      <w:lvlText w:val=""/>
      <w:lvlJc w:val="left"/>
    </w:lvl>
    <w:lvl w:ilvl="7" w:tplc="C52CD128">
      <w:numFmt w:val="decimal"/>
      <w:lvlText w:val=""/>
      <w:lvlJc w:val="left"/>
    </w:lvl>
    <w:lvl w:ilvl="8" w:tplc="6E0C3C72">
      <w:numFmt w:val="decimal"/>
      <w:lvlText w:val=""/>
      <w:lvlJc w:val="left"/>
    </w:lvl>
  </w:abstractNum>
  <w:num w:numId="1" w16cid:durableId="1771705612">
    <w:abstractNumId w:val="2"/>
    <w:lvlOverride w:ilvl="0">
      <w:startOverride w:val="1"/>
    </w:lvlOverride>
  </w:num>
  <w:num w:numId="2" w16cid:durableId="979916500">
    <w:abstractNumId w:val="3"/>
    <w:lvlOverride w:ilvl="0">
      <w:startOverride w:val="1"/>
    </w:lvlOverride>
  </w:num>
  <w:num w:numId="3" w16cid:durableId="1011378480">
    <w:abstractNumId w:val="1"/>
    <w:lvlOverride w:ilvl="0">
      <w:startOverride w:val="1"/>
    </w:lvlOverride>
  </w:num>
  <w:num w:numId="4" w16cid:durableId="1724329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5F"/>
    <w:rsid w:val="001C005F"/>
    <w:rsid w:val="0032259F"/>
    <w:rsid w:val="004251C2"/>
    <w:rsid w:val="00D8307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0FAD133B"/>
  <w15:docId w15:val="{E0AB5A9D-811D-024A-9129-3687328C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5FE0"/>
      <w:sz w:val="30"/>
      <w:szCs w:val="30"/>
    </w:rPr>
  </w:style>
  <w:style w:type="paragraph" w:styleId="Heading2">
    <w:name w:val="heading 2"/>
    <w:uiPriority w:val="9"/>
    <w:unhideWhenUsed/>
    <w:qFormat/>
    <w:pPr>
      <w:spacing w:before="24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iftbase.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3140</Characters>
  <Application>Microsoft Office Word</Application>
  <DocSecurity>0</DocSecurity>
  <Lines>60</Lines>
  <Paragraphs>47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comunicación anual de jornada intensiva de verano</dc:title>
  <dc:creator>Shiftbase</dc:creator>
  <cp:lastModifiedBy>Rinaily Bonifacio</cp:lastModifiedBy>
  <cp:revision>2</cp:revision>
  <dcterms:created xsi:type="dcterms:W3CDTF">2026-06-11T14:09:00Z</dcterms:created>
  <dcterms:modified xsi:type="dcterms:W3CDTF">2026-06-15T08:30:00Z</dcterms:modified>
</cp:coreProperties>
</file>